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97" w:rsidRPr="000477A8" w:rsidRDefault="00430897" w:rsidP="00430897">
      <w:pPr>
        <w:tabs>
          <w:tab w:val="left" w:pos="0"/>
        </w:tabs>
        <w:autoSpaceDE w:val="0"/>
        <w:autoSpaceDN w:val="0"/>
        <w:adjustRightInd w:val="0"/>
        <w:ind w:right="-621"/>
      </w:pPr>
    </w:p>
    <w:p w:rsidR="00430897" w:rsidRDefault="00430897" w:rsidP="00430897">
      <w:pPr>
        <w:tabs>
          <w:tab w:val="left" w:pos="0"/>
        </w:tabs>
        <w:autoSpaceDE w:val="0"/>
        <w:autoSpaceDN w:val="0"/>
        <w:adjustRightInd w:val="0"/>
        <w:ind w:right="-621"/>
        <w:jc w:val="center"/>
        <w:rPr>
          <w:lang/>
        </w:rPr>
      </w:pPr>
      <w:r>
        <w:rPr>
          <w:lang/>
        </w:rPr>
        <w:t xml:space="preserve">                                                       PATVIRTINTA  </w:t>
      </w:r>
    </w:p>
    <w:p w:rsidR="00430897" w:rsidRDefault="00430897" w:rsidP="00430897">
      <w:pPr>
        <w:tabs>
          <w:tab w:val="left" w:pos="0"/>
        </w:tabs>
        <w:autoSpaceDE w:val="0"/>
        <w:autoSpaceDN w:val="0"/>
        <w:adjustRightInd w:val="0"/>
        <w:ind w:right="-621"/>
        <w:jc w:val="center"/>
        <w:rPr>
          <w:lang w:val="lt-LT"/>
        </w:rPr>
      </w:pPr>
      <w:r>
        <w:rPr>
          <w:lang w:val="lt-LT"/>
        </w:rPr>
        <w:t xml:space="preserve">                                                                                           Vilniaus rajono Glitiškių vaikų darželio</w:t>
      </w:r>
    </w:p>
    <w:p w:rsidR="00430897" w:rsidRDefault="00430897" w:rsidP="00430897">
      <w:pPr>
        <w:tabs>
          <w:tab w:val="left" w:pos="0"/>
        </w:tabs>
        <w:autoSpaceDE w:val="0"/>
        <w:autoSpaceDN w:val="0"/>
        <w:adjustRightInd w:val="0"/>
        <w:ind w:right="-621"/>
        <w:jc w:val="center"/>
        <w:rPr>
          <w:lang w:val="lt-LT"/>
        </w:rPr>
      </w:pPr>
      <w:r>
        <w:rPr>
          <w:lang w:val="lt-LT"/>
        </w:rPr>
        <w:t xml:space="preserve">                                                                                  direktorės 2019 m. gruodžio 30 d.</w:t>
      </w:r>
    </w:p>
    <w:p w:rsidR="00430897" w:rsidRDefault="00430897" w:rsidP="00430897">
      <w:pPr>
        <w:tabs>
          <w:tab w:val="left" w:pos="0"/>
        </w:tabs>
        <w:autoSpaceDE w:val="0"/>
        <w:autoSpaceDN w:val="0"/>
        <w:adjustRightInd w:val="0"/>
        <w:ind w:right="-621"/>
        <w:jc w:val="center"/>
        <w:rPr>
          <w:rFonts w:ascii="Calibri" w:hAnsi="Calibri" w:cs="Calibri"/>
          <w:sz w:val="22"/>
          <w:szCs w:val="22"/>
          <w:lang/>
        </w:rPr>
      </w:pPr>
      <w:r>
        <w:rPr>
          <w:lang/>
        </w:rPr>
        <w:t xml:space="preserve">  </w:t>
      </w:r>
      <w:r>
        <w:rPr>
          <w:lang w:val="lt-LT"/>
        </w:rPr>
        <w:t xml:space="preserve">                                                            </w:t>
      </w:r>
      <w:r>
        <w:rPr>
          <w:lang/>
        </w:rPr>
        <w:t xml:space="preserve"> įsakymu Nr. V1.3.-52</w:t>
      </w:r>
    </w:p>
    <w:p w:rsidR="00430897" w:rsidRDefault="00430897" w:rsidP="00430897">
      <w:pPr>
        <w:autoSpaceDE w:val="0"/>
        <w:autoSpaceDN w:val="0"/>
        <w:adjustRightInd w:val="0"/>
        <w:rPr>
          <w:rFonts w:ascii="Calibri" w:hAnsi="Calibri" w:cs="Calibri"/>
          <w:sz w:val="22"/>
          <w:szCs w:val="22"/>
          <w:lang/>
        </w:rPr>
      </w:pPr>
    </w:p>
    <w:p w:rsidR="00430897" w:rsidRDefault="00430897" w:rsidP="00430897">
      <w:pPr>
        <w:autoSpaceDE w:val="0"/>
        <w:autoSpaceDN w:val="0"/>
        <w:adjustRightInd w:val="0"/>
        <w:spacing w:after="120"/>
        <w:jc w:val="center"/>
        <w:rPr>
          <w:b/>
          <w:bCs/>
          <w:lang/>
        </w:rPr>
      </w:pPr>
      <w:r>
        <w:rPr>
          <w:b/>
          <w:bCs/>
          <w:lang/>
        </w:rPr>
        <w:t>VILNIAUS R. GLITIŠKIŲ VAIKŲ DARŽELIO VAIKŲ, UGDOMŲ PAGAL IKIMOKYKLINIO IR PRIEŠMOKYKLINIO UGDYMO PROGRAMAS, APRŪPINIMO MOKYMO PRIEMONĖMIS TVARKOS APRAŠAS</w:t>
      </w:r>
    </w:p>
    <w:p w:rsidR="00430897" w:rsidRDefault="00430897" w:rsidP="00430897">
      <w:pPr>
        <w:autoSpaceDE w:val="0"/>
        <w:autoSpaceDN w:val="0"/>
        <w:adjustRightInd w:val="0"/>
        <w:spacing w:after="120"/>
        <w:jc w:val="center"/>
        <w:rPr>
          <w:rFonts w:ascii="Calibri" w:hAnsi="Calibri" w:cs="Calibri"/>
          <w:sz w:val="22"/>
          <w:szCs w:val="22"/>
          <w:lang/>
        </w:rPr>
      </w:pPr>
    </w:p>
    <w:p w:rsidR="00430897" w:rsidRDefault="00430897" w:rsidP="00430897">
      <w:pPr>
        <w:autoSpaceDE w:val="0"/>
        <w:autoSpaceDN w:val="0"/>
        <w:adjustRightInd w:val="0"/>
        <w:spacing w:after="120"/>
        <w:jc w:val="center"/>
        <w:rPr>
          <w:b/>
          <w:bCs/>
          <w:lang/>
        </w:rPr>
      </w:pPr>
      <w:r>
        <w:rPr>
          <w:b/>
          <w:bCs/>
          <w:sz w:val="28"/>
          <w:szCs w:val="28"/>
          <w:lang/>
        </w:rPr>
        <w:t xml:space="preserve">I. </w:t>
      </w:r>
      <w:r>
        <w:rPr>
          <w:b/>
          <w:bCs/>
          <w:lang/>
        </w:rPr>
        <w:t>BENDROSIOS NUOSTATOS</w:t>
      </w:r>
    </w:p>
    <w:p w:rsidR="00430897" w:rsidRDefault="00430897" w:rsidP="00430897">
      <w:pPr>
        <w:autoSpaceDE w:val="0"/>
        <w:autoSpaceDN w:val="0"/>
        <w:adjustRightInd w:val="0"/>
        <w:jc w:val="both"/>
        <w:rPr>
          <w:lang/>
        </w:rPr>
      </w:pPr>
      <w:r>
        <w:rPr>
          <w:lang/>
        </w:rPr>
        <w:t>1. Ikimokyklinio ir priešmokyklinio ugdymo vaikų aprūpinimo mokymo priemonėmis tvarkos aprašas (toliau – tvarkos aprašas) nustato mokymo priemonių sampratą, mokymo priemonių įsigijimą.</w:t>
      </w:r>
    </w:p>
    <w:p w:rsidR="00430897" w:rsidRDefault="00430897" w:rsidP="00430897">
      <w:pPr>
        <w:tabs>
          <w:tab w:val="left" w:pos="317"/>
        </w:tabs>
        <w:autoSpaceDE w:val="0"/>
        <w:autoSpaceDN w:val="0"/>
        <w:adjustRightInd w:val="0"/>
        <w:jc w:val="both"/>
        <w:rPr>
          <w:lang/>
        </w:rPr>
      </w:pPr>
      <w:r>
        <w:rPr>
          <w:lang/>
        </w:rPr>
        <w:t>2.  Tvarkos aprašas parengtas vadovaujantis Lietuvos Respublikos švietimo ir mokslo ministro 2011 m. lapkričio 30 d. įsakymu Nr. V-2310 „Dėl bendrojo ugdymo dalykų vadovėlių ir mokymo priemonių atitikties teisės aktams įvertinimo ir aprūpinimo jais tvarkos aprašo patvirtinimo“ ir Priešmokyklinio ugdymo priemonės samprata, patvirtinta Lietuvos Respublikos švietimo ir mokslo ministro 2003 m. spalio 15 d. įsakymu Nr. ISAK-1434. 3.</w:t>
      </w:r>
    </w:p>
    <w:p w:rsidR="00430897" w:rsidRDefault="00430897" w:rsidP="00430897">
      <w:pPr>
        <w:tabs>
          <w:tab w:val="left" w:pos="317"/>
        </w:tabs>
        <w:autoSpaceDE w:val="0"/>
        <w:autoSpaceDN w:val="0"/>
        <w:adjustRightInd w:val="0"/>
        <w:jc w:val="both"/>
        <w:rPr>
          <w:lang/>
        </w:rPr>
      </w:pPr>
      <w:r>
        <w:rPr>
          <w:lang/>
        </w:rPr>
        <w:t>3. Tvarkos apraše vartojama sąvoka: Mokymo priemonės – mokytojo knyga, priešmokyklinio ir ikimokyklinio ugdymo priemonės, specialiosios mokymo priemonės, skaitmeninės mokymo priemonės, ugdymo procesui reikalinga literatūra, daiktai, medžiagos ir įranga.</w:t>
      </w:r>
    </w:p>
    <w:p w:rsidR="00430897" w:rsidRDefault="00430897" w:rsidP="00430897">
      <w:pPr>
        <w:tabs>
          <w:tab w:val="left" w:pos="317"/>
        </w:tabs>
        <w:autoSpaceDE w:val="0"/>
        <w:autoSpaceDN w:val="0"/>
        <w:adjustRightInd w:val="0"/>
        <w:jc w:val="center"/>
        <w:rPr>
          <w:rFonts w:ascii="Calibri" w:hAnsi="Calibri" w:cs="Calibri"/>
          <w:sz w:val="22"/>
          <w:szCs w:val="22"/>
          <w:lang/>
        </w:rPr>
      </w:pPr>
    </w:p>
    <w:p w:rsidR="00430897" w:rsidRDefault="00430897" w:rsidP="00430897">
      <w:pPr>
        <w:tabs>
          <w:tab w:val="left" w:pos="317"/>
        </w:tabs>
        <w:autoSpaceDE w:val="0"/>
        <w:autoSpaceDN w:val="0"/>
        <w:adjustRightInd w:val="0"/>
        <w:jc w:val="center"/>
        <w:rPr>
          <w:b/>
          <w:bCs/>
          <w:lang/>
        </w:rPr>
      </w:pPr>
      <w:r>
        <w:rPr>
          <w:b/>
          <w:bCs/>
          <w:sz w:val="28"/>
          <w:szCs w:val="28"/>
          <w:lang/>
        </w:rPr>
        <w:t xml:space="preserve"> </w:t>
      </w:r>
      <w:r>
        <w:rPr>
          <w:b/>
          <w:bCs/>
          <w:lang/>
        </w:rPr>
        <w:t>II. MOKYMO PRIEMONIŲ PASKIRTIS</w:t>
      </w:r>
    </w:p>
    <w:p w:rsidR="00430897" w:rsidRDefault="00430897" w:rsidP="00430897">
      <w:pPr>
        <w:tabs>
          <w:tab w:val="left" w:pos="317"/>
        </w:tabs>
        <w:autoSpaceDE w:val="0"/>
        <w:autoSpaceDN w:val="0"/>
        <w:adjustRightInd w:val="0"/>
        <w:jc w:val="both"/>
        <w:rPr>
          <w:rFonts w:ascii="Calibri" w:hAnsi="Calibri" w:cs="Calibri"/>
          <w:lang/>
        </w:rPr>
      </w:pPr>
    </w:p>
    <w:p w:rsidR="00430897" w:rsidRDefault="00430897" w:rsidP="00430897">
      <w:pPr>
        <w:tabs>
          <w:tab w:val="left" w:pos="317"/>
        </w:tabs>
        <w:autoSpaceDE w:val="0"/>
        <w:autoSpaceDN w:val="0"/>
        <w:adjustRightInd w:val="0"/>
        <w:jc w:val="both"/>
        <w:rPr>
          <w:lang/>
        </w:rPr>
      </w:pPr>
      <w:r>
        <w:rPr>
          <w:lang/>
        </w:rPr>
        <w:t>4. Mokymo priemonių paskirtis – padėti vaikams siekti ugdymo ir ugdymosi tikslų ir kompetencijų, skatinti motyvaciją mokytis, aktyvų ir savarankišką lavinimąsi.</w:t>
      </w:r>
    </w:p>
    <w:p w:rsidR="00430897" w:rsidRDefault="00430897" w:rsidP="00430897">
      <w:pPr>
        <w:tabs>
          <w:tab w:val="left" w:pos="317"/>
        </w:tabs>
        <w:autoSpaceDE w:val="0"/>
        <w:autoSpaceDN w:val="0"/>
        <w:adjustRightInd w:val="0"/>
        <w:jc w:val="both"/>
        <w:rPr>
          <w:lang/>
        </w:rPr>
      </w:pPr>
      <w:r>
        <w:rPr>
          <w:lang/>
        </w:rPr>
        <w:t xml:space="preserve"> 4.1. Skatinti aktyvią ir įvairią vaiko veiklą pateikiant įvairias užduotis, skirtas taikomojo ir kūrybinio pobūdžio veiklai.</w:t>
      </w:r>
    </w:p>
    <w:p w:rsidR="00430897" w:rsidRDefault="00430897" w:rsidP="00430897">
      <w:pPr>
        <w:tabs>
          <w:tab w:val="left" w:pos="317"/>
        </w:tabs>
        <w:autoSpaceDE w:val="0"/>
        <w:autoSpaceDN w:val="0"/>
        <w:adjustRightInd w:val="0"/>
        <w:jc w:val="both"/>
        <w:rPr>
          <w:lang/>
        </w:rPr>
      </w:pPr>
      <w:r>
        <w:rPr>
          <w:lang/>
        </w:rPr>
        <w:t xml:space="preserve"> 4.2. Diferencijuoti užduotis ir vaikams keliamus reikalavimus pagal įgytų žinių ir gebėjimų lygį.</w:t>
      </w:r>
    </w:p>
    <w:p w:rsidR="00430897" w:rsidRDefault="00430897" w:rsidP="00430897">
      <w:pPr>
        <w:tabs>
          <w:tab w:val="left" w:pos="317"/>
        </w:tabs>
        <w:autoSpaceDE w:val="0"/>
        <w:autoSpaceDN w:val="0"/>
        <w:adjustRightInd w:val="0"/>
        <w:jc w:val="both"/>
        <w:rPr>
          <w:lang/>
        </w:rPr>
      </w:pPr>
      <w:r>
        <w:rPr>
          <w:lang/>
        </w:rPr>
        <w:t xml:space="preserve"> 4.3. Individualizuoti vaikų darbą atsižvelgus į jų gebėjimus, ugdymosi poreikius, polinkius ir interesus. </w:t>
      </w:r>
    </w:p>
    <w:p w:rsidR="00430897" w:rsidRDefault="00430897" w:rsidP="00430897">
      <w:pPr>
        <w:tabs>
          <w:tab w:val="left" w:pos="317"/>
        </w:tabs>
        <w:autoSpaceDE w:val="0"/>
        <w:autoSpaceDN w:val="0"/>
        <w:adjustRightInd w:val="0"/>
        <w:jc w:val="both"/>
        <w:rPr>
          <w:lang/>
        </w:rPr>
      </w:pPr>
      <w:r>
        <w:rPr>
          <w:lang/>
        </w:rPr>
        <w:t xml:space="preserve">5. Priešmokyklinio ir ikimokyklinio ugdymo priemonių paskirtis – ugdyti aktyvų, smalsų, savo gebėjimais pasitikintį, pažinti ir mokytis norintį priešmokyklinio amžiaus vaiką, sudaryti jam prielaidas toliau sėkmingai ugdytis mokykloje. Priešmokyklinio ugdymo priemonės (literatūra, žaislai, daiktai ir medžiagos) padeda priešmokyklinio amžiaus vaikui natūraliai ugdyti mokymuisi mokykloje reikalingus gebėjimus. </w:t>
      </w:r>
    </w:p>
    <w:p w:rsidR="00430897" w:rsidRDefault="00430897" w:rsidP="00430897">
      <w:pPr>
        <w:tabs>
          <w:tab w:val="left" w:pos="317"/>
        </w:tabs>
        <w:autoSpaceDE w:val="0"/>
        <w:autoSpaceDN w:val="0"/>
        <w:adjustRightInd w:val="0"/>
        <w:jc w:val="both"/>
        <w:rPr>
          <w:lang/>
        </w:rPr>
      </w:pPr>
      <w:r>
        <w:rPr>
          <w:lang/>
        </w:rPr>
        <w:t xml:space="preserve">6. Specialiosios mokymo priemonės (vaizdinės, techninės, demonstracinės, skaitmeninės mokymo priemonės, žaislai, daiktai, medžiagos, literatūra ir specialiųjų poreikių vaikams skirti pratybų sąsiuviniai) parengtos ar pritaikytos specialiųjų poreikių vaikams ugdyti. Jos padeda plėtoti specialiųjų poreikių vaikų žinias ir gebėjimus, ugdytis mokymuisi reikalingą kompetenciją, įgyti socialinių ir kasdienio gyvenimo įgūdžių, skatina motyvaciją mokytis. </w:t>
      </w:r>
    </w:p>
    <w:p w:rsidR="00430897" w:rsidRDefault="00430897" w:rsidP="00430897">
      <w:pPr>
        <w:tabs>
          <w:tab w:val="left" w:pos="317"/>
        </w:tabs>
        <w:autoSpaceDE w:val="0"/>
        <w:autoSpaceDN w:val="0"/>
        <w:adjustRightInd w:val="0"/>
        <w:jc w:val="both"/>
        <w:rPr>
          <w:lang/>
        </w:rPr>
      </w:pPr>
      <w:r>
        <w:rPr>
          <w:lang/>
        </w:rPr>
        <w:t xml:space="preserve">7. Skaitmeninės mokymo priemonės (mokomoji programinė, techninė įranga ir metodinė medžiaga) naudojamos mokymui ir mokymuisi, vaikų mokymosi motyvacijai skatinti ir mokymuisi individualizuoti. </w:t>
      </w:r>
    </w:p>
    <w:p w:rsidR="00430897" w:rsidRDefault="00430897" w:rsidP="00430897">
      <w:pPr>
        <w:tabs>
          <w:tab w:val="left" w:pos="317"/>
        </w:tabs>
        <w:autoSpaceDE w:val="0"/>
        <w:autoSpaceDN w:val="0"/>
        <w:adjustRightInd w:val="0"/>
        <w:jc w:val="both"/>
        <w:rPr>
          <w:lang/>
        </w:rPr>
      </w:pPr>
      <w:r>
        <w:rPr>
          <w:lang/>
        </w:rPr>
        <w:t xml:space="preserve">8. Ugdymo procesui reikalinga literatūra (programinė, informacinė, mokslo populiarioji, vaikų, metodinė literatūra) padeda ugdyti vaikų skaitymo ir kalbos įgūdžius, komunikavimo ir kultūrinę </w:t>
      </w:r>
      <w:r>
        <w:rPr>
          <w:lang/>
        </w:rPr>
        <w:lastRenderedPageBreak/>
        <w:t xml:space="preserve">kompetenciją, informacinius gebėjimus, gebėjimą veikti įvairiose socialinėse ir kultūrinėse situacijose, formuotis pilietinę savimonę. Metodinė literatūra padeda mokytojui veiksmingiau ir kokybiškiau organizuoti ugdymo procesą. </w:t>
      </w:r>
    </w:p>
    <w:p w:rsidR="00430897" w:rsidRDefault="00430897" w:rsidP="00430897">
      <w:pPr>
        <w:tabs>
          <w:tab w:val="left" w:pos="317"/>
        </w:tabs>
        <w:autoSpaceDE w:val="0"/>
        <w:autoSpaceDN w:val="0"/>
        <w:adjustRightInd w:val="0"/>
        <w:jc w:val="both"/>
        <w:rPr>
          <w:lang/>
        </w:rPr>
      </w:pPr>
      <w:r>
        <w:rPr>
          <w:lang/>
        </w:rPr>
        <w:t xml:space="preserve">9. Daiktai, medžiagos ir įranga padeda vaikams susipažinti su atitinkama informacija, tobulina praktinius gebėjimus, teikia galimybių kūrybiškai atlikti užduotis, pagyvina ugdymo procesą. Šios priemonės padeda vaikams sutelkti dėmesį, geriau suvokti temas ir užduotis, įsiminti ir suprasti teikiamą informaciją. </w:t>
      </w:r>
    </w:p>
    <w:p w:rsidR="00430897" w:rsidRDefault="00430897" w:rsidP="00430897">
      <w:pPr>
        <w:tabs>
          <w:tab w:val="left" w:pos="317"/>
        </w:tabs>
        <w:autoSpaceDE w:val="0"/>
        <w:autoSpaceDN w:val="0"/>
        <w:adjustRightInd w:val="0"/>
        <w:jc w:val="both"/>
        <w:rPr>
          <w:rFonts w:ascii="Calibri" w:hAnsi="Calibri" w:cs="Calibri"/>
          <w:sz w:val="22"/>
          <w:szCs w:val="22"/>
          <w:lang/>
        </w:rPr>
      </w:pPr>
    </w:p>
    <w:p w:rsidR="00430897" w:rsidRDefault="00430897" w:rsidP="00430897">
      <w:pPr>
        <w:tabs>
          <w:tab w:val="left" w:pos="317"/>
        </w:tabs>
        <w:autoSpaceDE w:val="0"/>
        <w:autoSpaceDN w:val="0"/>
        <w:adjustRightInd w:val="0"/>
        <w:jc w:val="center"/>
        <w:rPr>
          <w:b/>
          <w:bCs/>
          <w:sz w:val="28"/>
          <w:szCs w:val="28"/>
          <w:lang/>
        </w:rPr>
      </w:pPr>
      <w:r>
        <w:rPr>
          <w:b/>
          <w:bCs/>
          <w:sz w:val="28"/>
          <w:szCs w:val="28"/>
          <w:lang/>
        </w:rPr>
        <w:t>III. MOKYMO PRIEMONIŲ ĮSIGIJIMAS</w:t>
      </w:r>
    </w:p>
    <w:p w:rsidR="00430897" w:rsidRDefault="00430897" w:rsidP="00430897">
      <w:pPr>
        <w:tabs>
          <w:tab w:val="left" w:pos="317"/>
        </w:tabs>
        <w:autoSpaceDE w:val="0"/>
        <w:autoSpaceDN w:val="0"/>
        <w:adjustRightInd w:val="0"/>
        <w:jc w:val="center"/>
        <w:rPr>
          <w:rFonts w:ascii="Calibri" w:hAnsi="Calibri" w:cs="Calibri"/>
          <w:sz w:val="22"/>
          <w:szCs w:val="22"/>
          <w:lang/>
        </w:rPr>
      </w:pPr>
    </w:p>
    <w:p w:rsidR="00430897" w:rsidRDefault="00430897" w:rsidP="00430897">
      <w:pPr>
        <w:tabs>
          <w:tab w:val="left" w:pos="317"/>
        </w:tabs>
        <w:autoSpaceDE w:val="0"/>
        <w:autoSpaceDN w:val="0"/>
        <w:adjustRightInd w:val="0"/>
        <w:jc w:val="both"/>
        <w:rPr>
          <w:lang/>
        </w:rPr>
      </w:pPr>
      <w:r>
        <w:rPr>
          <w:lang/>
        </w:rPr>
        <w:t xml:space="preserve">10. Darželis už mokymo priemones, kurias ketina įsigyti iš vaiko krepšelio lėšų ir kitų savivaldybės biudžeto lėšų, su leidyklomis arba tiekėjais, ar jų įgaliotomis institucijomis, atsiskaito pagal sutartyse, pasirašytose su leidėjų ar tiekėjų ar jų įgaliotų institucijų atstovais numatyta tvarka. </w:t>
      </w:r>
    </w:p>
    <w:p w:rsidR="00430897" w:rsidRDefault="00430897" w:rsidP="00430897">
      <w:pPr>
        <w:tabs>
          <w:tab w:val="left" w:pos="317"/>
        </w:tabs>
        <w:autoSpaceDE w:val="0"/>
        <w:autoSpaceDN w:val="0"/>
        <w:adjustRightInd w:val="0"/>
        <w:jc w:val="both"/>
        <w:rPr>
          <w:lang/>
        </w:rPr>
      </w:pPr>
      <w:r>
        <w:rPr>
          <w:lang/>
        </w:rPr>
        <w:t xml:space="preserve">11. Vaiko krepšelio lėšos darželiui skiriamos pagal vaikų skaičių kalendoriniams metams. </w:t>
      </w:r>
    </w:p>
    <w:p w:rsidR="00430897" w:rsidRDefault="00430897" w:rsidP="00430897">
      <w:pPr>
        <w:tabs>
          <w:tab w:val="left" w:pos="317"/>
        </w:tabs>
        <w:autoSpaceDE w:val="0"/>
        <w:autoSpaceDN w:val="0"/>
        <w:adjustRightInd w:val="0"/>
        <w:jc w:val="both"/>
        <w:rPr>
          <w:lang/>
        </w:rPr>
      </w:pPr>
      <w:r>
        <w:rPr>
          <w:lang/>
        </w:rPr>
        <w:t xml:space="preserve">12. Už vaiko krepšelio lėšas, skirtas mokymo priemonėms, galima įsigyti: </w:t>
      </w:r>
    </w:p>
    <w:p w:rsidR="00430897" w:rsidRDefault="00430897" w:rsidP="00430897">
      <w:pPr>
        <w:tabs>
          <w:tab w:val="left" w:pos="317"/>
        </w:tabs>
        <w:autoSpaceDE w:val="0"/>
        <w:autoSpaceDN w:val="0"/>
        <w:adjustRightInd w:val="0"/>
        <w:jc w:val="both"/>
        <w:rPr>
          <w:lang/>
        </w:rPr>
      </w:pPr>
      <w:r>
        <w:rPr>
          <w:lang/>
        </w:rPr>
        <w:t xml:space="preserve">    12.1. specialiųjų mokymo priemonių; </w:t>
      </w:r>
    </w:p>
    <w:p w:rsidR="00430897" w:rsidRDefault="00430897" w:rsidP="00430897">
      <w:pPr>
        <w:tabs>
          <w:tab w:val="left" w:pos="317"/>
        </w:tabs>
        <w:autoSpaceDE w:val="0"/>
        <w:autoSpaceDN w:val="0"/>
        <w:adjustRightInd w:val="0"/>
        <w:jc w:val="both"/>
        <w:rPr>
          <w:lang/>
        </w:rPr>
      </w:pPr>
      <w:r>
        <w:rPr>
          <w:lang/>
        </w:rPr>
        <w:t xml:space="preserve">    12.2. priešmokyklinio ir ikimokyklinio ugdymo priemonių; </w:t>
      </w:r>
    </w:p>
    <w:p w:rsidR="00430897" w:rsidRDefault="00430897" w:rsidP="00430897">
      <w:pPr>
        <w:tabs>
          <w:tab w:val="left" w:pos="317"/>
        </w:tabs>
        <w:autoSpaceDE w:val="0"/>
        <w:autoSpaceDN w:val="0"/>
        <w:adjustRightInd w:val="0"/>
        <w:jc w:val="both"/>
        <w:rPr>
          <w:lang/>
        </w:rPr>
      </w:pPr>
      <w:r>
        <w:rPr>
          <w:lang/>
        </w:rPr>
        <w:t xml:space="preserve">    12.3. ugdymo procesui reikalingos literatūros; </w:t>
      </w:r>
    </w:p>
    <w:p w:rsidR="00430897" w:rsidRDefault="00430897" w:rsidP="00430897">
      <w:pPr>
        <w:tabs>
          <w:tab w:val="left" w:pos="317"/>
        </w:tabs>
        <w:autoSpaceDE w:val="0"/>
        <w:autoSpaceDN w:val="0"/>
        <w:adjustRightInd w:val="0"/>
        <w:jc w:val="both"/>
        <w:rPr>
          <w:lang/>
        </w:rPr>
      </w:pPr>
      <w:r>
        <w:rPr>
          <w:lang/>
        </w:rPr>
        <w:t xml:space="preserve">    12.4. skaitmeninių mokymo priemonių. </w:t>
      </w:r>
    </w:p>
    <w:p w:rsidR="00430897" w:rsidRDefault="00430897" w:rsidP="00430897">
      <w:pPr>
        <w:tabs>
          <w:tab w:val="left" w:pos="317"/>
        </w:tabs>
        <w:autoSpaceDE w:val="0"/>
        <w:autoSpaceDN w:val="0"/>
        <w:adjustRightInd w:val="0"/>
        <w:jc w:val="both"/>
        <w:rPr>
          <w:lang/>
        </w:rPr>
      </w:pPr>
      <w:r>
        <w:rPr>
          <w:lang/>
        </w:rPr>
        <w:t xml:space="preserve">13. Daiktų, medžiagų ir įrangos (ugdymui ir ugdymuisi) reikalingų darbo, kūrybos, informacinių ir vaizdinių priemonių). </w:t>
      </w:r>
    </w:p>
    <w:p w:rsidR="00430897" w:rsidRDefault="00430897" w:rsidP="00430897">
      <w:pPr>
        <w:tabs>
          <w:tab w:val="left" w:pos="317"/>
        </w:tabs>
        <w:autoSpaceDE w:val="0"/>
        <w:autoSpaceDN w:val="0"/>
        <w:adjustRightInd w:val="0"/>
        <w:jc w:val="both"/>
        <w:rPr>
          <w:lang/>
        </w:rPr>
      </w:pPr>
      <w:r>
        <w:rPr>
          <w:lang/>
        </w:rPr>
        <w:t xml:space="preserve">14. Be mokinio krepšelio lėšų mokymo priemonėms įsigyti taip pat gali būti skiriama lėšų iš savivaldybės ir valstybės biudžetų. </w:t>
      </w:r>
    </w:p>
    <w:p w:rsidR="00430897" w:rsidRDefault="00430897" w:rsidP="00430897">
      <w:pPr>
        <w:tabs>
          <w:tab w:val="left" w:pos="317"/>
        </w:tabs>
        <w:autoSpaceDE w:val="0"/>
        <w:autoSpaceDN w:val="0"/>
        <w:adjustRightInd w:val="0"/>
        <w:jc w:val="both"/>
        <w:rPr>
          <w:lang/>
        </w:rPr>
      </w:pPr>
      <w:r>
        <w:rPr>
          <w:lang/>
        </w:rPr>
        <w:t xml:space="preserve">15. Už mokymo priemonių įsigijimą, apskaitą ir išdavimo į grupes tvarką tiesiogiai atsakingas direktorius. </w:t>
      </w:r>
    </w:p>
    <w:p w:rsidR="00430897" w:rsidRDefault="00430897" w:rsidP="00430897">
      <w:pPr>
        <w:tabs>
          <w:tab w:val="left" w:pos="317"/>
        </w:tabs>
        <w:autoSpaceDE w:val="0"/>
        <w:autoSpaceDN w:val="0"/>
        <w:adjustRightInd w:val="0"/>
        <w:jc w:val="both"/>
        <w:rPr>
          <w:lang/>
        </w:rPr>
      </w:pPr>
      <w:r>
        <w:rPr>
          <w:lang/>
        </w:rPr>
        <w:t xml:space="preserve">16. Vyriausiasis buhalteris lėšų sąmatas, mokymo priemonėms įsigyti ir vaikų pažintinei veiklai organizuoti, pateikia švietimo skyriui iki kiekvienų metų sausio 31 d. </w:t>
      </w:r>
    </w:p>
    <w:p w:rsidR="00430897" w:rsidRDefault="00430897" w:rsidP="00430897">
      <w:pPr>
        <w:tabs>
          <w:tab w:val="left" w:pos="317"/>
        </w:tabs>
        <w:autoSpaceDE w:val="0"/>
        <w:autoSpaceDN w:val="0"/>
        <w:adjustRightInd w:val="0"/>
        <w:jc w:val="both"/>
        <w:rPr>
          <w:lang/>
        </w:rPr>
      </w:pPr>
      <w:r>
        <w:rPr>
          <w:lang/>
        </w:rPr>
        <w:t>17. Nepanaudoti mokinio krepšelio lėšų likučiai, iki biudžetinių metų pabaigos, grąžinami į savivaldybės biudžetą.</w:t>
      </w:r>
    </w:p>
    <w:p w:rsidR="00430897" w:rsidRDefault="00430897" w:rsidP="00430897">
      <w:pPr>
        <w:autoSpaceDE w:val="0"/>
        <w:autoSpaceDN w:val="0"/>
        <w:adjustRightInd w:val="0"/>
        <w:jc w:val="both"/>
        <w:rPr>
          <w:rFonts w:ascii="Calibri" w:hAnsi="Calibri" w:cs="Calibri"/>
          <w:sz w:val="22"/>
          <w:szCs w:val="22"/>
          <w:lang/>
        </w:rPr>
      </w:pPr>
    </w:p>
    <w:p w:rsidR="00430897" w:rsidRDefault="00430897" w:rsidP="00430897">
      <w:pPr>
        <w:autoSpaceDE w:val="0"/>
        <w:autoSpaceDN w:val="0"/>
        <w:adjustRightInd w:val="0"/>
        <w:jc w:val="both"/>
        <w:rPr>
          <w:rFonts w:ascii="Calibri" w:hAnsi="Calibri" w:cs="Calibri"/>
          <w:sz w:val="22"/>
          <w:szCs w:val="22"/>
          <w:lang/>
        </w:rPr>
      </w:pPr>
    </w:p>
    <w:p w:rsidR="00430897" w:rsidRDefault="00430897" w:rsidP="00430897">
      <w:pPr>
        <w:autoSpaceDE w:val="0"/>
        <w:autoSpaceDN w:val="0"/>
        <w:adjustRightInd w:val="0"/>
        <w:jc w:val="both"/>
        <w:rPr>
          <w:rFonts w:ascii="Calibri" w:hAnsi="Calibri" w:cs="Calibri"/>
          <w:sz w:val="22"/>
          <w:szCs w:val="22"/>
          <w:lang/>
        </w:rPr>
      </w:pPr>
    </w:p>
    <w:p w:rsidR="00FC343B" w:rsidRPr="00430897" w:rsidRDefault="00430897" w:rsidP="00430897">
      <w:pPr>
        <w:jc w:val="center"/>
        <w:rPr>
          <w:lang/>
        </w:rPr>
      </w:pPr>
      <w:r>
        <w:rPr>
          <w:lang/>
        </w:rPr>
        <w:t>_________________________________________</w:t>
      </w:r>
    </w:p>
    <w:sectPr w:rsidR="00FC343B" w:rsidRPr="00430897" w:rsidSect="002E14EB">
      <w:pgSz w:w="12240" w:h="15840"/>
      <w:pgMar w:top="1701"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0897"/>
    <w:rsid w:val="000477A8"/>
    <w:rsid w:val="001D6B06"/>
    <w:rsid w:val="00233CCE"/>
    <w:rsid w:val="00430897"/>
    <w:rsid w:val="008D238D"/>
    <w:rsid w:val="00C11597"/>
    <w:rsid w:val="00F00B9B"/>
    <w:rsid w:val="00F15FD9"/>
    <w:rsid w:val="00FC3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B9B"/>
    <w:rPr>
      <w:sz w:val="24"/>
      <w:szCs w:val="24"/>
    </w:rPr>
  </w:style>
  <w:style w:type="paragraph" w:customStyle="1" w:styleId="Akapitzlist">
    <w:name w:val="Akapit z listą"/>
    <w:basedOn w:val="Normal"/>
    <w:uiPriority w:val="34"/>
    <w:rsid w:val="00F00B9B"/>
    <w:pPr>
      <w:ind w:left="720"/>
      <w:contextualSpacing/>
    </w:pPr>
    <w:rPr>
      <w:rFonts w:ascii="Calibri" w:eastAsia="Calibri" w:hAnsi="Calibri"/>
      <w:lang w:val="pl-PL"/>
    </w:rPr>
  </w:style>
  <w:style w:type="paragraph" w:styleId="ListParagraph">
    <w:name w:val="List Paragraph"/>
    <w:basedOn w:val="Normal"/>
    <w:uiPriority w:val="1"/>
    <w:qFormat/>
    <w:rsid w:val="00F15FD9"/>
    <w:pPr>
      <w:spacing w:after="200" w:line="276" w:lineRule="auto"/>
      <w:ind w:left="720"/>
      <w:contextualSpacing/>
    </w:pPr>
    <w:rPr>
      <w:rFonts w:ascii="Calibri" w:eastAsia="Calibri" w:hAnsi="Calibri"/>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2020-02-19T08:22:00Z</cp:lastPrinted>
  <dcterms:created xsi:type="dcterms:W3CDTF">2020-02-19T08:13:00Z</dcterms:created>
  <dcterms:modified xsi:type="dcterms:W3CDTF">2020-02-19T09:09:00Z</dcterms:modified>
</cp:coreProperties>
</file>